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42E" w:rsidRPr="00BD54BB" w:rsidRDefault="00D1342E" w:rsidP="00D1342E">
      <w:pPr>
        <w:jc w:val="highKashida"/>
        <w:rPr>
          <w:rFonts w:ascii="Andalus" w:hAnsi="Andalus" w:cs="Andalus"/>
          <w:b/>
          <w:bCs/>
          <w:sz w:val="32"/>
          <w:szCs w:val="32"/>
        </w:rPr>
      </w:pPr>
      <w:proofErr w:type="gramStart"/>
      <w:r w:rsidRPr="00BD54BB">
        <w:rPr>
          <w:rFonts w:ascii="Andalus" w:hAnsi="Andalus" w:cs="Andalus"/>
          <w:b/>
          <w:bCs/>
          <w:sz w:val="32"/>
          <w:szCs w:val="32"/>
          <w:rtl/>
        </w:rPr>
        <w:t>الجمهورية</w:t>
      </w:r>
      <w:proofErr w:type="gramEnd"/>
      <w:r w:rsidRPr="00BD54BB">
        <w:rPr>
          <w:rFonts w:ascii="Andalus" w:hAnsi="Andalus" w:cs="Andalus"/>
          <w:b/>
          <w:bCs/>
          <w:sz w:val="32"/>
          <w:szCs w:val="32"/>
          <w:rtl/>
        </w:rPr>
        <w:t xml:space="preserve"> التونسية</w:t>
      </w:r>
      <w:r w:rsidRPr="00BD54BB">
        <w:rPr>
          <w:rFonts w:ascii="Andalus" w:hAnsi="Andalus" w:cs="Andalus"/>
          <w:sz w:val="32"/>
          <w:szCs w:val="32"/>
          <w:rtl/>
        </w:rPr>
        <w:t xml:space="preserve">                     </w:t>
      </w:r>
    </w:p>
    <w:p w:rsidR="00D1342E" w:rsidRPr="00BD54BB" w:rsidRDefault="00D1342E" w:rsidP="00D1342E">
      <w:pPr>
        <w:jc w:val="highKashida"/>
        <w:rPr>
          <w:rFonts w:ascii="Andalus" w:hAnsi="Andalus" w:cs="Andalus"/>
          <w:b/>
          <w:bCs/>
          <w:sz w:val="32"/>
          <w:szCs w:val="32"/>
          <w:rtl/>
        </w:rPr>
      </w:pPr>
      <w:r w:rsidRPr="00BD54BB">
        <w:rPr>
          <w:rFonts w:ascii="Andalus" w:hAnsi="Andalus" w:cs="Andalus"/>
          <w:b/>
          <w:bCs/>
          <w:sz w:val="32"/>
          <w:szCs w:val="32"/>
          <w:rtl/>
        </w:rPr>
        <w:t xml:space="preserve">   </w:t>
      </w:r>
      <w:proofErr w:type="gramStart"/>
      <w:r w:rsidRPr="00BD54BB">
        <w:rPr>
          <w:rFonts w:ascii="Andalus" w:hAnsi="Andalus" w:cs="Andalus"/>
          <w:b/>
          <w:bCs/>
          <w:sz w:val="32"/>
          <w:szCs w:val="32"/>
          <w:rtl/>
        </w:rPr>
        <w:t>وزارة</w:t>
      </w:r>
      <w:proofErr w:type="gramEnd"/>
      <w:r w:rsidRPr="00BD54BB">
        <w:rPr>
          <w:rFonts w:ascii="Andalus" w:hAnsi="Andalus" w:cs="Andalus"/>
          <w:b/>
          <w:bCs/>
          <w:sz w:val="32"/>
          <w:szCs w:val="32"/>
          <w:rtl/>
        </w:rPr>
        <w:t xml:space="preserve"> العدل</w:t>
      </w:r>
    </w:p>
    <w:p w:rsidR="00D1342E" w:rsidRPr="00BD54BB" w:rsidRDefault="00D1342E" w:rsidP="00D1342E">
      <w:pPr>
        <w:jc w:val="highKashida"/>
        <w:rPr>
          <w:rFonts w:ascii="Andalus" w:hAnsi="Andalus" w:cs="Andalus"/>
          <w:b/>
          <w:bCs/>
          <w:sz w:val="32"/>
          <w:szCs w:val="32"/>
          <w:rtl/>
        </w:rPr>
      </w:pPr>
      <w:r w:rsidRPr="00BD54BB">
        <w:rPr>
          <w:rFonts w:ascii="Andalus" w:hAnsi="Andalus" w:cs="Andalus"/>
          <w:b/>
          <w:bCs/>
          <w:sz w:val="32"/>
          <w:szCs w:val="32"/>
          <w:rtl/>
        </w:rPr>
        <w:t xml:space="preserve"> </w:t>
      </w:r>
      <w:proofErr w:type="gramStart"/>
      <w:r w:rsidRPr="00BD54BB">
        <w:rPr>
          <w:rFonts w:ascii="Andalus" w:hAnsi="Andalus" w:cs="Andalus"/>
          <w:b/>
          <w:bCs/>
          <w:sz w:val="32"/>
          <w:szCs w:val="32"/>
          <w:rtl/>
        </w:rPr>
        <w:t>محكمة</w:t>
      </w:r>
      <w:proofErr w:type="gramEnd"/>
      <w:r w:rsidRPr="00BD54BB">
        <w:rPr>
          <w:rFonts w:ascii="Andalus" w:hAnsi="Andalus" w:cs="Andalus"/>
          <w:b/>
          <w:bCs/>
          <w:sz w:val="32"/>
          <w:szCs w:val="32"/>
          <w:rtl/>
        </w:rPr>
        <w:t xml:space="preserve"> التعقيب</w:t>
      </w:r>
    </w:p>
    <w:p w:rsidR="00D1342E" w:rsidRPr="00BD54BB" w:rsidRDefault="00D1342E" w:rsidP="00D1342E">
      <w:pPr>
        <w:jc w:val="highKashida"/>
        <w:rPr>
          <w:rFonts w:ascii="Andalus" w:hAnsi="Andalus" w:cs="Andalus"/>
          <w:b/>
          <w:bCs/>
          <w:sz w:val="32"/>
          <w:szCs w:val="32"/>
          <w:rtl/>
        </w:rPr>
      </w:pPr>
      <w:r w:rsidRPr="00BD54BB">
        <w:rPr>
          <w:rFonts w:ascii="Andalus" w:hAnsi="Andalus" w:cs="Andalus"/>
          <w:b/>
          <w:bCs/>
          <w:sz w:val="32"/>
          <w:szCs w:val="32"/>
          <w:rtl/>
        </w:rPr>
        <w:t>ع</w:t>
      </w:r>
      <w:r>
        <w:rPr>
          <w:rFonts w:ascii="Andalus" w:hAnsi="Andalus" w:cs="Andalus" w:hint="cs"/>
          <w:b/>
          <w:bCs/>
          <w:sz w:val="32"/>
          <w:szCs w:val="32"/>
          <w:rtl/>
        </w:rPr>
        <w:t>ـ*</w:t>
      </w:r>
      <w:r w:rsidRPr="00BD54BB">
        <w:rPr>
          <w:rFonts w:ascii="Andalus" w:hAnsi="Andalus" w:cs="Andalus"/>
          <w:b/>
          <w:bCs/>
          <w:sz w:val="32"/>
          <w:szCs w:val="32"/>
          <w:rtl/>
        </w:rPr>
        <w:t>66191</w:t>
      </w:r>
      <w:r>
        <w:rPr>
          <w:rFonts w:ascii="Andalus" w:hAnsi="Andalus" w:cs="Andalus" w:hint="cs"/>
          <w:b/>
          <w:bCs/>
          <w:sz w:val="32"/>
          <w:szCs w:val="32"/>
          <w:rtl/>
        </w:rPr>
        <w:t>.2024ـدد</w:t>
      </w:r>
      <w:r w:rsidRPr="00BD54BB">
        <w:rPr>
          <w:rFonts w:ascii="Andalus" w:hAnsi="Andalus" w:cs="Andalus"/>
          <w:b/>
          <w:bCs/>
          <w:sz w:val="32"/>
          <w:szCs w:val="32"/>
          <w:rtl/>
        </w:rPr>
        <w:t xml:space="preserve"> القرار</w:t>
      </w:r>
    </w:p>
    <w:p w:rsidR="00D1342E" w:rsidRPr="00BD54BB" w:rsidRDefault="00D1342E" w:rsidP="00D1342E">
      <w:pPr>
        <w:jc w:val="highKashida"/>
        <w:rPr>
          <w:rFonts w:ascii="Andalus" w:hAnsi="Andalus" w:cs="Andalus"/>
          <w:b/>
          <w:bCs/>
          <w:sz w:val="32"/>
          <w:szCs w:val="32"/>
          <w:rtl/>
        </w:rPr>
      </w:pPr>
      <w:proofErr w:type="gramStart"/>
      <w:r w:rsidRPr="00BD54BB">
        <w:rPr>
          <w:rFonts w:ascii="Andalus" w:hAnsi="Andalus" w:cs="Andalus"/>
          <w:b/>
          <w:bCs/>
          <w:sz w:val="32"/>
          <w:szCs w:val="32"/>
          <w:rtl/>
        </w:rPr>
        <w:t>تاريخه</w:t>
      </w:r>
      <w:proofErr w:type="gramEnd"/>
      <w:r w:rsidRPr="00BD54BB">
        <w:rPr>
          <w:rFonts w:ascii="Andalus" w:hAnsi="Andalus" w:cs="Andalus"/>
          <w:b/>
          <w:bCs/>
          <w:sz w:val="32"/>
          <w:szCs w:val="32"/>
          <w:rtl/>
        </w:rPr>
        <w:t>:</w:t>
      </w:r>
      <w:bookmarkStart w:id="0" w:name="DateAudience"/>
      <w:bookmarkEnd w:id="0"/>
      <w:r w:rsidRPr="00BD54BB">
        <w:rPr>
          <w:rFonts w:ascii="Andalus" w:hAnsi="Andalus" w:cs="Andalus"/>
          <w:b/>
          <w:bCs/>
          <w:sz w:val="32"/>
          <w:szCs w:val="32"/>
          <w:rtl/>
        </w:rPr>
        <w:t>28/05/2024</w:t>
      </w:r>
      <w:r w:rsidRPr="00BD54BB">
        <w:rPr>
          <w:rFonts w:ascii="Andalus" w:hAnsi="Andalus" w:cs="Andalus"/>
          <w:b/>
          <w:bCs/>
          <w:sz w:val="32"/>
          <w:szCs w:val="32"/>
          <w:rtl/>
        </w:rPr>
        <w:tab/>
      </w:r>
    </w:p>
    <w:p w:rsidR="00D1342E" w:rsidRPr="00BD54BB" w:rsidRDefault="00D1342E" w:rsidP="00D1342E">
      <w:pPr>
        <w:ind w:firstLine="851"/>
        <w:jc w:val="center"/>
        <w:rPr>
          <w:rFonts w:ascii="Andalus" w:hAnsi="Andalus" w:cs="Andalus"/>
          <w:b/>
          <w:bCs/>
          <w:sz w:val="40"/>
          <w:szCs w:val="40"/>
          <w:rtl/>
        </w:rPr>
      </w:pPr>
      <w:r w:rsidRPr="00BD54BB">
        <w:rPr>
          <w:rFonts w:ascii="Andalus" w:hAnsi="Andalus" w:cs="Andalus"/>
          <w:b/>
          <w:bCs/>
          <w:sz w:val="40"/>
          <w:szCs w:val="40"/>
          <w:rtl/>
        </w:rPr>
        <w:t>أصــدرت محكمة التعقيـب القرار الآتي:</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بعد الاطلاع على مطلب التعقيب المقدم في 03/01/2024 تحت عدد 4663 من طرف المحامي الأستاذ سامي العكروت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b/>
          <w:bCs/>
          <w:sz w:val="32"/>
          <w:szCs w:val="32"/>
          <w:rtl/>
        </w:rPr>
        <w:t>في حــق:</w:t>
      </w:r>
      <w:r w:rsidRPr="00BD54BB">
        <w:rPr>
          <w:rFonts w:ascii="Traditional Arabic" w:hAnsi="Traditional Arabic"/>
          <w:sz w:val="32"/>
          <w:szCs w:val="32"/>
          <w:rtl/>
          <w:lang w:bidi="ar-TN"/>
        </w:rPr>
        <w:t xml:space="preserve">شركة الأصابع الذهبية للصناعات التقليدية في شخص ممثلها القانوني ، مقرها الاجتماعي بعد 14 ساحة محمد علي بحومة السوق جربة ،محل مخابرتها بمكتب محاميها الأستاذ سامي العكروت الكائن ب 5 نهج سيدي عباس حومة السوق جربة.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b/>
          <w:bCs/>
          <w:sz w:val="32"/>
          <w:szCs w:val="32"/>
          <w:rtl/>
        </w:rPr>
        <w:t>ضـد:</w:t>
      </w:r>
      <w:r w:rsidRPr="00BD54BB">
        <w:rPr>
          <w:rFonts w:ascii="Traditional Arabic" w:hAnsi="Traditional Arabic"/>
          <w:sz w:val="32"/>
          <w:szCs w:val="32"/>
          <w:rtl/>
        </w:rPr>
        <w:t xml:space="preserve"> سالم بالحاج امحمّد ، مقره بنهج رمادة بحومة السوق جربة .محاميه الأستاذ بديع </w:t>
      </w:r>
      <w:proofErr w:type="gramStart"/>
      <w:r w:rsidRPr="00BD54BB">
        <w:rPr>
          <w:rFonts w:ascii="Traditional Arabic" w:hAnsi="Traditional Arabic"/>
          <w:sz w:val="32"/>
          <w:szCs w:val="32"/>
          <w:rtl/>
        </w:rPr>
        <w:t>بن</w:t>
      </w:r>
      <w:proofErr w:type="gramEnd"/>
      <w:r w:rsidRPr="00BD54BB">
        <w:rPr>
          <w:rFonts w:ascii="Traditional Arabic" w:hAnsi="Traditional Arabic"/>
          <w:sz w:val="32"/>
          <w:szCs w:val="32"/>
          <w:rtl/>
        </w:rPr>
        <w:t xml:space="preserve"> مبروك.</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طعنا في القرار الاستئنافي عدد </w:t>
      </w:r>
      <w:r w:rsidRPr="00BD54BB">
        <w:rPr>
          <w:rFonts w:ascii="Traditional Arabic" w:hAnsi="Traditional Arabic"/>
          <w:b/>
          <w:bCs/>
          <w:sz w:val="32"/>
          <w:szCs w:val="32"/>
          <w:rtl/>
        </w:rPr>
        <w:t xml:space="preserve">28165 </w:t>
      </w:r>
      <w:r w:rsidRPr="00BD54BB">
        <w:rPr>
          <w:rFonts w:ascii="Traditional Arabic" w:hAnsi="Traditional Arabic"/>
          <w:sz w:val="32"/>
          <w:szCs w:val="32"/>
          <w:rtl/>
        </w:rPr>
        <w:t xml:space="preserve">الصادر بتاريخ </w:t>
      </w:r>
      <w:r w:rsidRPr="00BD54BB">
        <w:rPr>
          <w:rFonts w:ascii="Traditional Arabic" w:hAnsi="Traditional Arabic"/>
          <w:b/>
          <w:bCs/>
          <w:sz w:val="32"/>
          <w:szCs w:val="32"/>
          <w:rtl/>
        </w:rPr>
        <w:t xml:space="preserve">08/11/2023 </w:t>
      </w:r>
      <w:r w:rsidRPr="00BD54BB">
        <w:rPr>
          <w:rFonts w:ascii="Traditional Arabic" w:hAnsi="Traditional Arabic"/>
          <w:sz w:val="32"/>
          <w:szCs w:val="32"/>
          <w:rtl/>
        </w:rPr>
        <w:t>عن محكمة الاستئناف بمدنين والقاضي نهائيا بقبول الاستئنافين الأصلي و العرضي شكلا وفي الأصل بنقض الحكم المطعون فيه و القضاء مجددا بإلزام المستأنف ضدها الأولى في شخص ممثلها القانوني بأن تؤدي للمستأنف مائة و سبعون ألفا و خمسمائة دينار لقاء ما أداه عنها من مبالغ مالية لفائدة بنك تونس العربي الدولي في شخص ممثله القانوني و سبعمائة دينار لقاء أتعاب التقاضي و أجرة المحاماة عن الطورين و حمل المصاريف القانونية عليها و إعفاء المستأنف من الخطية و إرجاع معلومها المؤمن إليه و عدم سماع الدعوى فيما زاد على ذلك كعدم سماع الدعوى في حق المستأنف ضده الثاني و إخراجه من نطاق المطالبة و رفض الاستئناف العرضي أصلا.</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وبعد الاطلاع على مستندات التعقيب المبلغة للمعقب ضده بواسطة عدل التنفيذ توفيق العجيمي  حسب محضره عدد 56770   بتاريخ 19/01/2024  وعلى نسخة الحكم المطعون فيه وعلى جميع الإجراءات والوثائق المقدمة في 26/01/2024 وفقا لمقتضيات الفصل </w:t>
      </w:r>
      <w:smartTag w:uri="urn:schemas-microsoft-com:office:smarttags" w:element="metricconverter">
        <w:smartTagPr>
          <w:attr w:name="ProductID" w:val="185 م"/>
        </w:smartTagPr>
        <w:r w:rsidRPr="00BD54BB">
          <w:rPr>
            <w:rFonts w:ascii="Traditional Arabic" w:hAnsi="Traditional Arabic"/>
            <w:sz w:val="32"/>
            <w:szCs w:val="32"/>
            <w:rtl/>
          </w:rPr>
          <w:t>185 م</w:t>
        </w:r>
      </w:smartTag>
      <w:r w:rsidRPr="00BD54BB">
        <w:rPr>
          <w:rFonts w:ascii="Traditional Arabic" w:hAnsi="Traditional Arabic"/>
          <w:sz w:val="32"/>
          <w:szCs w:val="32"/>
          <w:rtl/>
        </w:rPr>
        <w:t xml:space="preserve"> م م ت.</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 بعد الاطلاع على مذكرة الرد على مستندات الطعن المقدمة من قبل الأستاذ بديع بن مبروك بتاريخ 15/02/2024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وبعد الاطلاع على ملحوظات النيابة العمومية لدى هذه المحكمة والرامية إلى القضاء بقبول مطلب التعقيب شكلا و أصلا و النقض مع الإحالة و الإعفاء.</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وبعد الاطلاع على أوراق القضية والمفاوضة بحجرة الشورى صرح علنا بما يلي:</w:t>
      </w:r>
    </w:p>
    <w:p w:rsidR="00D1342E" w:rsidRPr="00BD54BB" w:rsidRDefault="00D1342E" w:rsidP="00D1342E">
      <w:pPr>
        <w:ind w:left="567" w:firstLine="567"/>
        <w:jc w:val="both"/>
        <w:rPr>
          <w:rFonts w:ascii="Traditional Arabic" w:hAnsi="Traditional Arabic"/>
          <w:b/>
          <w:bCs/>
          <w:sz w:val="32"/>
          <w:szCs w:val="32"/>
          <w:u w:val="single"/>
          <w:rtl/>
        </w:rPr>
      </w:pPr>
      <w:proofErr w:type="gramStart"/>
      <w:r w:rsidRPr="00BD54BB">
        <w:rPr>
          <w:rFonts w:ascii="Traditional Arabic" w:hAnsi="Traditional Arabic"/>
          <w:b/>
          <w:bCs/>
          <w:sz w:val="32"/>
          <w:szCs w:val="32"/>
          <w:u w:val="single"/>
          <w:rtl/>
        </w:rPr>
        <w:t>من</w:t>
      </w:r>
      <w:proofErr w:type="gramEnd"/>
      <w:r w:rsidRPr="00BD54BB">
        <w:rPr>
          <w:rFonts w:ascii="Traditional Arabic" w:hAnsi="Traditional Arabic"/>
          <w:b/>
          <w:bCs/>
          <w:sz w:val="32"/>
          <w:szCs w:val="32"/>
          <w:u w:val="single"/>
          <w:rtl/>
        </w:rPr>
        <w:t xml:space="preserve"> حيث الشكل</w:t>
      </w:r>
    </w:p>
    <w:p w:rsidR="00D1342E" w:rsidRPr="00BD54BB" w:rsidRDefault="00D1342E" w:rsidP="00D1342E">
      <w:pPr>
        <w:ind w:left="567" w:firstLine="567"/>
        <w:jc w:val="both"/>
        <w:rPr>
          <w:rFonts w:ascii="Traditional Arabic" w:hAnsi="Traditional Arabic"/>
          <w:sz w:val="32"/>
          <w:szCs w:val="32"/>
          <w:rtl/>
        </w:rPr>
      </w:pPr>
      <w:proofErr w:type="gramStart"/>
      <w:r w:rsidRPr="00BD54BB">
        <w:rPr>
          <w:rFonts w:ascii="Traditional Arabic" w:hAnsi="Traditional Arabic"/>
          <w:sz w:val="32"/>
          <w:szCs w:val="32"/>
          <w:rtl/>
        </w:rPr>
        <w:lastRenderedPageBreak/>
        <w:t>حيث</w:t>
      </w:r>
      <w:proofErr w:type="gramEnd"/>
      <w:r w:rsidRPr="00BD54BB">
        <w:rPr>
          <w:rFonts w:ascii="Traditional Arabic" w:hAnsi="Traditional Arabic"/>
          <w:sz w:val="32"/>
          <w:szCs w:val="32"/>
          <w:rtl/>
        </w:rPr>
        <w:t xml:space="preserve"> كان مطلب التعقيب مستوفيا لجميع أوضاعه وصيغه القانونية طبق أحكام الفصل 175 وما بعده م م م ت مما يتجه معه قبوله من هذه الناحية.</w:t>
      </w:r>
    </w:p>
    <w:p w:rsidR="00D1342E" w:rsidRPr="00BD54BB" w:rsidRDefault="00D1342E" w:rsidP="00D1342E">
      <w:pPr>
        <w:ind w:left="567" w:firstLine="567"/>
        <w:jc w:val="both"/>
        <w:rPr>
          <w:rFonts w:ascii="Traditional Arabic" w:hAnsi="Traditional Arabic"/>
          <w:b/>
          <w:bCs/>
          <w:sz w:val="32"/>
          <w:szCs w:val="32"/>
          <w:u w:val="single"/>
          <w:rtl/>
        </w:rPr>
      </w:pPr>
      <w:proofErr w:type="gramStart"/>
      <w:r w:rsidRPr="00BD54BB">
        <w:rPr>
          <w:rFonts w:ascii="Traditional Arabic" w:hAnsi="Traditional Arabic"/>
          <w:b/>
          <w:bCs/>
          <w:sz w:val="32"/>
          <w:szCs w:val="32"/>
          <w:u w:val="single"/>
          <w:rtl/>
        </w:rPr>
        <w:t>من</w:t>
      </w:r>
      <w:proofErr w:type="gramEnd"/>
      <w:r w:rsidRPr="00BD54BB">
        <w:rPr>
          <w:rFonts w:ascii="Traditional Arabic" w:hAnsi="Traditional Arabic"/>
          <w:b/>
          <w:bCs/>
          <w:sz w:val="32"/>
          <w:szCs w:val="32"/>
          <w:u w:val="single"/>
          <w:rtl/>
        </w:rPr>
        <w:t xml:space="preserve"> حيث الأصل</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حيث تفيد وقائع القضية مثلما أثبتها الحكم المطعون فيه والأوراق التي انبنى عليها قيام المدعي في الاصل( المعقب ضده الآن ) لدى المحكمة الابتدائية بمدنين عارضا بواسطة محاميه أنه شريك في شركة الأصابع الذهبية  المدعى عليها الأولى بمعية المطلوب الثاني و قد تأسست الشركة سنة 2007 تبعا للعقد التأسيسي المضاف و هو يملك خمسين بالمائة من رأسمالها و كذلك المطلوب الثاني و ذلك بعد إحالة شريكهما الثالث عز الدين عمر لكامل حصصه إلى شريكيه أنصافا بينهما و أن الشركة تملك العقار الكائن على حافة نهج 20 مارس بحومة السوق جربة مساحته 146م2 و هو محل تجاري موضوع الرسم العقاري عدد 11618 مدنين و قد حتم العرف التجاري أن تقع تغطية احتياجات الشركة من الأموال لتغطية ديونها والتزاماتها بعدة طرق ، من بينها القروض التي يمنحها الشركاء بصفتهم تلك فراعى النظام المحاسبي بتقنين ما يسمى بالحساب الجاري شريك الذي يفتح لفائدة كل شريك بدفاتر و حسابات الشركة كما كرسها القانون الجبائي و نظم الفائض الأقصى المعتمد لفائدة الشريك المقرض و أكد بأنه أقرض الشركة المدعى عليها جملة من المبالغ المالية وقد سجلت الموازنة المالية لسنة 2016 حسابا جاريا شريك دائن لفائدته بمبلغ 43.400.000 د و أن المبلغ المسجل لا يعكس حقيقة الدين باعتبار أنه أقرض الشركة مبلغا لمواجهة تبعات دينها تجاه بنك تونس العربي الدولي الذي باشر إجراءات التنفيذ على العقار المشار إليه مما جعله يدفع مبلغا جمليا قدره 170.500.000 د للحيلولة دون تبتيته طالبا على هذا الأساس و عملا بأحكام الفصول 71 و 1092 و 1279 م ا ع القضاء بإلزام المطلوبة في شخص ممثلها القانوني بالتضامن مع المطلوب الأول بأن يؤديا له مبلغ 170.5</w:t>
      </w:r>
      <w:proofErr w:type="gramStart"/>
      <w:r w:rsidRPr="00BD54BB">
        <w:rPr>
          <w:rFonts w:ascii="Traditional Arabic" w:hAnsi="Traditional Arabic"/>
          <w:sz w:val="32"/>
          <w:szCs w:val="32"/>
          <w:rtl/>
        </w:rPr>
        <w:t>00.000 د</w:t>
      </w:r>
      <w:proofErr w:type="gramEnd"/>
      <w:r w:rsidRPr="00BD54BB">
        <w:rPr>
          <w:rFonts w:ascii="Traditional Arabic" w:hAnsi="Traditional Arabic"/>
          <w:sz w:val="32"/>
          <w:szCs w:val="32"/>
          <w:rtl/>
        </w:rPr>
        <w:t xml:space="preserve"> لقاء أصل الدين مع الفائض القانوني الجاري عليه من تاريخ رفع الدعوى إلى تمام الوفاء مع ألفي دينار لقاء أتعاب التقاضي و أجرة المحاماة مع الإذن بالنفاذ العاجل و حمل المصاريف القانونية عليهما .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وحيث صدر الحكم الابتدائي عدد 2079/19  بتاريخ 28/06/2019 قاضيا ابتدائيا بعدم سماع الدعوى الأصلية و إبقاء مصاريفها محمولة على من سبقها و بقبول الدعوى المعارضة شكلا و في الأصل بإلزام المدعي بأن يؤدي للمدعى عليهما أربعمائة دينار 400د لقاء أتعاب التقاضي و أجرة المحاماة و برفض الدعوى المعارضة فيما زاد على ذلك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lang w:bidi="ar-TN"/>
        </w:rPr>
        <w:t xml:space="preserve">وحيث استأنف المدعي  (المعقب ضده الآن) الحكم المذكور وأصدرت محكمة القرار </w:t>
      </w:r>
      <w:r w:rsidRPr="00BD54BB">
        <w:rPr>
          <w:rFonts w:ascii="Traditional Arabic" w:hAnsi="Traditional Arabic"/>
          <w:sz w:val="32"/>
          <w:szCs w:val="32"/>
          <w:rtl/>
        </w:rPr>
        <w:t>المطعون فيه قرارها المضمن نصه بطالع هذا فتعقبه المستأنف ضده بواسطة نائبه ناعيا عليه:</w:t>
      </w:r>
    </w:p>
    <w:p w:rsidR="00D1342E" w:rsidRPr="00BD54BB" w:rsidRDefault="00D1342E" w:rsidP="00D1342E">
      <w:pPr>
        <w:ind w:left="567" w:firstLine="567"/>
        <w:jc w:val="both"/>
        <w:rPr>
          <w:rFonts w:ascii="Traditional Arabic" w:hAnsi="Traditional Arabic"/>
          <w:sz w:val="32"/>
          <w:szCs w:val="32"/>
          <w:rtl/>
          <w:lang w:bidi="ar-TN"/>
        </w:rPr>
      </w:pPr>
      <w:r w:rsidRPr="00BD54BB">
        <w:rPr>
          <w:rFonts w:ascii="Traditional Arabic" w:hAnsi="Traditional Arabic"/>
          <w:b/>
          <w:bCs/>
          <w:sz w:val="32"/>
          <w:szCs w:val="32"/>
          <w:rtl/>
        </w:rPr>
        <w:t xml:space="preserve">1/تحريف الوقائع : </w:t>
      </w:r>
      <w:r w:rsidRPr="00BD54BB">
        <w:rPr>
          <w:rFonts w:ascii="Traditional Arabic" w:hAnsi="Traditional Arabic"/>
          <w:sz w:val="32"/>
          <w:szCs w:val="32"/>
          <w:rtl/>
          <w:lang w:bidi="ar-TN"/>
        </w:rPr>
        <w:t xml:space="preserve">بمقولة أن ما جاء على لسان محكمة القرار المنتقد من أنه " عندما طالب باسترجاع دينه من الشركة و إدراجه بحسابه الجاري شريك رفض طلبه و أنكرت عليه دائنيته للشركة فقام أمام محكمة البداية طالبا استرجاع ما دفعه " هو من قبيل تحريف الوقائع  ذلك أن المعقب ضده لم يعرض بتاتا هذا الدين ليضمن بالحساب الجاري شريك و إنما توجه مباشرة للقضاء لإلزام الشركة بأداء المبلغ المدفوع من قبله و أن </w:t>
      </w:r>
      <w:r w:rsidRPr="00BD54BB">
        <w:rPr>
          <w:rFonts w:ascii="Traditional Arabic" w:hAnsi="Traditional Arabic"/>
          <w:sz w:val="32"/>
          <w:szCs w:val="32"/>
          <w:rtl/>
          <w:lang w:bidi="ar-TN"/>
        </w:rPr>
        <w:lastRenderedPageBreak/>
        <w:t>المعقب ضده لم يعلم الشركة و لا وكيلها بحصول هذه المعاملة مع البنك لا قبل عملية السداد و لا بعده علاوة على تكتمه المطلق على المعاملة التي جرت بينه و بين البنك و دون تفويض من الشركة و لا وكيلها رغم انعقاد عديد الجلسات العامة و رغم تكليف خبير في المحاسبة بموجب إذن على عريضة بطلب من المعقب ضده .</w:t>
      </w:r>
    </w:p>
    <w:p w:rsidR="00D1342E" w:rsidRPr="00BD54BB" w:rsidRDefault="00D1342E" w:rsidP="00D1342E">
      <w:pPr>
        <w:ind w:left="567" w:firstLine="567"/>
        <w:jc w:val="both"/>
        <w:rPr>
          <w:rFonts w:ascii="Traditional Arabic" w:hAnsi="Traditional Arabic"/>
          <w:sz w:val="32"/>
          <w:szCs w:val="32"/>
          <w:rtl/>
          <w:lang w:bidi="ar-TN"/>
        </w:rPr>
      </w:pPr>
      <w:r w:rsidRPr="00BD54BB">
        <w:rPr>
          <w:rFonts w:ascii="Traditional Arabic" w:hAnsi="Traditional Arabic"/>
          <w:sz w:val="32"/>
          <w:szCs w:val="32"/>
          <w:rtl/>
          <w:lang w:bidi="ar-TN"/>
        </w:rPr>
        <w:t>2</w:t>
      </w:r>
      <w:r w:rsidRPr="00BD54BB">
        <w:rPr>
          <w:rFonts w:ascii="Traditional Arabic" w:hAnsi="Traditional Arabic"/>
          <w:b/>
          <w:bCs/>
          <w:sz w:val="32"/>
          <w:szCs w:val="32"/>
          <w:rtl/>
          <w:lang w:bidi="ar-TN"/>
        </w:rPr>
        <w:t xml:space="preserve">/ هضم حقوق الدفاع و عدم الجواب على كافة الدفوعات </w:t>
      </w:r>
      <w:r w:rsidRPr="00BD54BB">
        <w:rPr>
          <w:rFonts w:ascii="Traditional Arabic" w:hAnsi="Traditional Arabic"/>
          <w:sz w:val="32"/>
          <w:szCs w:val="32"/>
          <w:rtl/>
          <w:lang w:bidi="ar-TN"/>
        </w:rPr>
        <w:t xml:space="preserve"> : بمقولة أن المحكمة استعاضت عن مجلة الشركات التجارية بأحكام القانون العام المنصوص عليها بالمجلة المدنية و إسقاط مؤسسة التصرف الفضولي في غير مجالها و الحال أن مجلة الشركات التجارية قد نظمت كل معاملات الشركات التجارية في جميع علاقاتها سواء مع الشركاء أو تجاه الغير .و أنه طالما ليست للمعقب ضده صفة الوكيل و ليس بيده توكيل و لم يقم بإعلام الوكيل و لا الجلسة العامة فإن تصرفه في حق الشركة هو تصرف باطل و لا عمل عليه و انه بالإضافة</w:t>
      </w:r>
      <w:proofErr w:type="gramStart"/>
      <w:r w:rsidRPr="00BD54BB">
        <w:rPr>
          <w:rFonts w:ascii="Traditional Arabic" w:hAnsi="Traditional Arabic"/>
          <w:sz w:val="32"/>
          <w:szCs w:val="32"/>
          <w:rtl/>
          <w:lang w:bidi="ar-TN"/>
        </w:rPr>
        <w:t xml:space="preserve"> إلى </w:t>
      </w:r>
      <w:proofErr w:type="gramEnd"/>
      <w:r w:rsidRPr="00BD54BB">
        <w:rPr>
          <w:rFonts w:ascii="Traditional Arabic" w:hAnsi="Traditional Arabic"/>
          <w:sz w:val="32"/>
          <w:szCs w:val="32"/>
          <w:rtl/>
          <w:lang w:bidi="ar-TN"/>
        </w:rPr>
        <w:t xml:space="preserve">انعدام الصفة لدى الشريك فقد اعترف بدين في حق الشركة تجاه البنك أكثر من الدين الحقيقي و الفعلي الذي في ذمتها و أن محكمة القرار المنتقد لم تجب على هذه المستندات و أعرضت على مجلة الشركات لتستعيض عنها بأحكام القانون العام و الحال أن القانون الخاص مسبق على العام .كما وقعت المحكمة في الخلط بين أداء الدين و مؤسسة الحساب الجاري شريك معتبرة أن المال المدفوع هو من قبيل الحساب الجاري شريك و يمثل دينا في ذمة الشركة لفائدة المعقب ضده .و الحال أن الحساب جاري شريك هو حساب مخصص للشركاء دون سواهم يتم أولا عبر إثبات الدين و ثانيا اعتباره وثيقة محاسبتية و ثالثا عرضه على الجلسة العامة للتصويت عليه.و أضاف بأن المحكمة أغفلت توفر الشروط القانونية لمؤسسة التصرف الفضولي و التي تتمثل في ثلاث أمور أولها </w:t>
      </w:r>
      <w:r w:rsidRPr="00BD54BB">
        <w:rPr>
          <w:rFonts w:ascii="Traditional Arabic" w:hAnsi="Traditional Arabic"/>
          <w:b/>
          <w:bCs/>
          <w:sz w:val="32"/>
          <w:szCs w:val="32"/>
          <w:rtl/>
          <w:lang w:bidi="ar-TN"/>
        </w:rPr>
        <w:t>غياب الملتزم لفائدته</w:t>
      </w:r>
      <w:r w:rsidRPr="00BD54BB">
        <w:rPr>
          <w:rFonts w:ascii="Traditional Arabic" w:hAnsi="Traditional Arabic"/>
          <w:sz w:val="32"/>
          <w:szCs w:val="32"/>
          <w:rtl/>
          <w:lang w:bidi="ar-TN"/>
        </w:rPr>
        <w:t xml:space="preserve"> وفق ما يستشف من أحكام الفصلين 1179 و 1180 م ا ع و الثاني </w:t>
      </w:r>
      <w:r w:rsidRPr="00BD54BB">
        <w:rPr>
          <w:rFonts w:ascii="Traditional Arabic" w:hAnsi="Traditional Arabic"/>
          <w:b/>
          <w:bCs/>
          <w:sz w:val="32"/>
          <w:szCs w:val="32"/>
          <w:rtl/>
          <w:lang w:bidi="ar-TN"/>
        </w:rPr>
        <w:t>الإعلام بهذا التصرف بمجرد الانتهاء منه</w:t>
      </w:r>
      <w:r w:rsidRPr="00BD54BB">
        <w:rPr>
          <w:rFonts w:ascii="Traditional Arabic" w:hAnsi="Traditional Arabic"/>
          <w:sz w:val="32"/>
          <w:szCs w:val="32"/>
          <w:rtl/>
          <w:lang w:bidi="ar-TN"/>
        </w:rPr>
        <w:t xml:space="preserve">  طبق أحكام الفصل 1182 م ا ع و الثالث </w:t>
      </w:r>
      <w:r w:rsidRPr="00BD54BB">
        <w:rPr>
          <w:rFonts w:ascii="Traditional Arabic" w:hAnsi="Traditional Arabic"/>
          <w:b/>
          <w:bCs/>
          <w:sz w:val="32"/>
          <w:szCs w:val="32"/>
          <w:rtl/>
          <w:lang w:bidi="ar-TN"/>
        </w:rPr>
        <w:t>حسن النية</w:t>
      </w:r>
      <w:r w:rsidRPr="00BD54BB">
        <w:rPr>
          <w:rFonts w:ascii="Traditional Arabic" w:hAnsi="Traditional Arabic"/>
          <w:sz w:val="32"/>
          <w:szCs w:val="32"/>
          <w:rtl/>
          <w:lang w:bidi="ar-TN"/>
        </w:rPr>
        <w:t xml:space="preserve">  و أضاف بأن سوء نية المعقب ضده تستشف من خلال عدم إعلام الشركة و لا وكيلها بالمعاملة التي جرت بينه و بين البنك في أجل معقول بل إن المعقب قد تكتم على المعاملة عديد السنوات رغم انعقاد عديد الجلسات العامة اللاحقة لتاريخ المعاملة المزعومة و أن المعقب ضده لم يضمن الدين المزعوم بالاختبار المأذون فيه بطلب منه و المعد من الخبير الطيب الزريعة رغم أنه لاحق في تاريخه للمعاملة المجراة مع البنك و قد اعترض المعقب ضده كذلك على الحلول التي قدمها وكيل الشركة لخلاص الدين تجاه البنك و قد صرح المعقب ضده بالجلسة العامة المنعقدة بتاريخ 17/11/2017 أنه يرفض قائمة الديون و أن جميع الحلول سابقة لأوانها كما اعترض على تسويغ جزء من الأصل التجاري الذي تملكه الشركة للغير بما يوفر سيولة مالية و صرح المعقب ضده أثناء التحريرات المكتبية المجراة بالطور الابتدائي أن غايته من وراء دفع الدين الذي في ذمة الشركة للبنك كان في إطار " اتفاق شفاهي مع وكيل الشركة في 28/01/2016 مقابل تمليكه شخصيا أي بذمته المالية المنفردة عن ذمة الشركة العقار المذكور " و هو ما فنده وكيل الشركة . و ان كل هذه المعطيات تثبت سوء نية المعقب ضده في الاستحواذ على كامل العقار الذي تملكه الشركة عوضا عن البنك و قد مرت محكمة الاستئناف مرور الكرام على كل هذه الدفوعات و لم تجب عنها متمسكة بحسن نية المعقب و هو ما يعد </w:t>
      </w:r>
      <w:r w:rsidRPr="00BD54BB">
        <w:rPr>
          <w:rFonts w:ascii="Traditional Arabic" w:hAnsi="Traditional Arabic"/>
          <w:sz w:val="32"/>
          <w:szCs w:val="32"/>
          <w:rtl/>
          <w:lang w:bidi="ar-TN"/>
        </w:rPr>
        <w:lastRenderedPageBreak/>
        <w:t>هضما لحقوق الدفاع موجبا للنقض و أكد بأن الذمة المالية للشركة هي مستقلة عن ذمة الشركاء و هو ما يجعل الحديث عن أن المعقب ضده ليس غيرا عن الشركة و أن الأطراف ليسوا غيرا عن بعضهم البعض فيه خلط جسيم في المفاهيم القانونية و تعسف عليها.</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b/>
          <w:bCs/>
          <w:sz w:val="32"/>
          <w:szCs w:val="32"/>
          <w:rtl/>
          <w:lang w:bidi="ar-TN"/>
        </w:rPr>
        <w:t xml:space="preserve">3- سوء تطبيق القانون و خرق مبدأ حسن النية و تحريف قواعد الإثبات </w:t>
      </w:r>
      <w:r w:rsidRPr="00BD54BB">
        <w:rPr>
          <w:rFonts w:ascii="Traditional Arabic" w:hAnsi="Traditional Arabic"/>
          <w:sz w:val="32"/>
          <w:szCs w:val="32"/>
          <w:rtl/>
          <w:lang w:bidi="ar-TN"/>
        </w:rPr>
        <w:t xml:space="preserve">: بمقولة أن الطاعنة كانت قد دفعت خلال الطور الاستئنافي بتكتم المعقب ضده لعدة سنوات عن المعاملة التي أجراها مع البنك و قد أجابت محكمة الاستئناف بأن الشركة و وكيلها وجب عليه أن يعلم بوقوع سداد الدين و ذلك بتوقف البنك عن التتبع في استخلاص دينه بالإضافة إلى </w:t>
      </w:r>
      <w:r w:rsidRPr="00BD54BB">
        <w:rPr>
          <w:rFonts w:ascii="Traditional Arabic" w:hAnsi="Traditional Arabic"/>
          <w:b/>
          <w:bCs/>
          <w:sz w:val="32"/>
          <w:szCs w:val="32"/>
          <w:rtl/>
          <w:lang w:bidi="ar-TN"/>
        </w:rPr>
        <w:t xml:space="preserve">إجازة المعقبة بهذه المعاملة بعدم تنبيهها على المعقب ضده و إعلامه بعدم رضاها و تنصلها من ذلك التصرف </w:t>
      </w:r>
      <w:r w:rsidRPr="00BD54BB">
        <w:rPr>
          <w:rFonts w:ascii="Traditional Arabic" w:hAnsi="Traditional Arabic"/>
          <w:sz w:val="32"/>
          <w:szCs w:val="32"/>
          <w:rtl/>
          <w:lang w:bidi="ar-TN"/>
        </w:rPr>
        <w:t>و أن مثل هذا الاستنتاج هو من قبيل عبء الإثبات فعلى المعقب ضده واجب إعلام الشركة بوقوع المعاملة عملا بمبدأ العلنية و الشفافية التي يتميز بها قانون الشركات و أن افتراض محكمة الاستئناف لعلم المعقبة بالمعاملة مع البنك و إعفاء المعقب ضده من واجب الإعلام بعد خرقه لواجب الاستئذان فيه خرق جسيم للقانون و سوء تطبيقه  و طلب بناء على كل ذلك نقض القرار المطعون فيه مع الإحالة.</w:t>
      </w:r>
    </w:p>
    <w:p w:rsidR="00D1342E" w:rsidRPr="00BD54BB" w:rsidRDefault="00D1342E" w:rsidP="00D1342E">
      <w:pPr>
        <w:ind w:left="567" w:firstLine="567"/>
        <w:jc w:val="center"/>
        <w:rPr>
          <w:rFonts w:ascii="Traditional Arabic" w:hAnsi="Traditional Arabic"/>
          <w:b/>
          <w:bCs/>
          <w:sz w:val="32"/>
          <w:szCs w:val="32"/>
          <w:rtl/>
        </w:rPr>
      </w:pPr>
      <w:proofErr w:type="gramStart"/>
      <w:r w:rsidRPr="00BD54BB">
        <w:rPr>
          <w:rFonts w:ascii="Traditional Arabic" w:hAnsi="Traditional Arabic"/>
          <w:b/>
          <w:bCs/>
          <w:sz w:val="32"/>
          <w:szCs w:val="32"/>
          <w:rtl/>
        </w:rPr>
        <w:t>المحكمـــــــــة</w:t>
      </w:r>
      <w:proofErr w:type="gramEnd"/>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حيث جعل الفصل 123 م م م ت من التعليل ببيان المستندات الواقعية و القانونية شرطا أساسيا لصحة الأحكام و لا يكون التعليل سليما و كافيا إلا إذا تعرّضت المحكمة للدفوعات التي أثارها الخصوم و تولّت مناقشتها و الرد عليها ردا مستساغا مستندة إلى ما له أصل ثابت بأوراق الملف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 حيث تأسست دعوى الحال على مديونية الشركة الطاعنة الآن بمبلغ مالي لفائدة الشريك الذي أقرضها مبالغ متفاوتة تم تقييدها بالحساب الجاري شريك و تأيدت بمجموعة وصولات بنكية.</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 حيث لا جدال في أن الحساب الجاري للشريك هو وسيلة للتمويل الذاتي للشركة تستعيض بها عن باقي وسائل التمويل الأخرى لتوفير السيولة الضرورية لنشاطها و أن المبالغ المقيدة بالحساب الجاري للشريك تمنح لهذا الأخير زيادة على صفة الشريك صفة الدائن بحيث يحمل على الشركة الالتزام بخلاص مبلغ الدين عند الطلب و في كل وقت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و حيث أن دعوى الشريك الرامية إلى استرجاع مبلغ القرض تستند إلى سند قانوني صحيح و تخضع لأحكام عقد القرض و باقي مقتضيات القانون المدني طالما لم يتضمن قانون الشركات التجارية أحكاما خاصة إلا أن ذلك يتوقف على ثبوت الدين عبر تقييده بموازنات الشركة أو غير ذلك من وسائل الإثبات بما لا يدع مجالا للشك في خصوص مبلغ الدين المطالب في ذلك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 حيث أكدت محكمة القرار المنتقد  ثبوت الدين دون أن ترد على منازعة الطاعنة في ذلك و بالرغم من اكتفاء المدعي بالإدلاء بالقوائم المالية لسنة 2016 و جملة من الوصولات البنكية التي كانت قاصرة عن ثبوت تعلق المبالغ المضمنة بها بالدين المدّعى بخلاصه في حق الشركة لفائدة بنك تونس العربي الدولي لا سيما </w:t>
      </w:r>
      <w:r w:rsidRPr="00BD54BB">
        <w:rPr>
          <w:rFonts w:ascii="Traditional Arabic" w:hAnsi="Traditional Arabic"/>
          <w:sz w:val="32"/>
          <w:szCs w:val="32"/>
          <w:rtl/>
        </w:rPr>
        <w:lastRenderedPageBreak/>
        <w:t xml:space="preserve">أمام إنكار المدعى عليه الثاني لعملية الخلاص المتمسك بها خلال جلسة التحريرات المكتبية بالطور الأول و التي أكد فيها أنه اقترض مبلغ 110 ألف دينار من الغير لمجابهة حكم التبتيت .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 حيث أن الواجب المحمول على محاكم الأصل في فصل النزاعات يوجب عليها البحث عن الحقيقة باتخاذ ما تراه ضروريا من أعمال و استقراءات تمكنها من تمحيص حجج الطرفين و ترجيح الأدلة على بعضها بعضا و استخلاص النتيجة المناسبة منها  طبق ما يخوله لها الفصل 86 م م م ت و أن فصل النزاع يستوجب من المحكمة أن تتحرى في  ثبوت الدين و مقداره بكل دقة و هو ما يجيز لها الاستعانة بأهل الخبرة عند الاقتضاء  .   </w:t>
      </w:r>
    </w:p>
    <w:p w:rsidR="00D1342E" w:rsidRPr="00BD54BB"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lang w:bidi="ar-TN"/>
        </w:rPr>
        <w:t xml:space="preserve">و </w:t>
      </w:r>
      <w:proofErr w:type="gramStart"/>
      <w:r w:rsidRPr="00BD54BB">
        <w:rPr>
          <w:rFonts w:ascii="Traditional Arabic" w:hAnsi="Traditional Arabic"/>
          <w:sz w:val="32"/>
          <w:szCs w:val="32"/>
          <w:rtl/>
          <w:lang w:bidi="ar-TN"/>
        </w:rPr>
        <w:t>حيث</w:t>
      </w:r>
      <w:proofErr w:type="gramEnd"/>
      <w:r w:rsidRPr="00BD54BB">
        <w:rPr>
          <w:rFonts w:ascii="Traditional Arabic" w:hAnsi="Traditional Arabic"/>
          <w:sz w:val="32"/>
          <w:szCs w:val="32"/>
          <w:rtl/>
          <w:lang w:bidi="ar-TN"/>
        </w:rPr>
        <w:t xml:space="preserve"> و طالما لم تنحى محكمة القرار المنتقد ذلك المنحى فقد </w:t>
      </w:r>
      <w:bookmarkStart w:id="1" w:name="_Hlk165309493"/>
      <w:r w:rsidRPr="00BD54BB">
        <w:rPr>
          <w:rFonts w:ascii="Traditional Arabic" w:hAnsi="Traditional Arabic"/>
          <w:sz w:val="32"/>
          <w:szCs w:val="32"/>
          <w:rtl/>
          <w:lang w:bidi="ar-TN"/>
        </w:rPr>
        <w:t>أورثت قضاءها ضعفا في التعليل موجبا للنقض.</w:t>
      </w:r>
    </w:p>
    <w:bookmarkEnd w:id="1"/>
    <w:p w:rsidR="00D1342E"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 حيث تعين إعفاء </w:t>
      </w:r>
      <w:proofErr w:type="gramStart"/>
      <w:r w:rsidRPr="00BD54BB">
        <w:rPr>
          <w:rFonts w:ascii="Traditional Arabic" w:hAnsi="Traditional Arabic"/>
          <w:sz w:val="32"/>
          <w:szCs w:val="32"/>
          <w:rtl/>
        </w:rPr>
        <w:t>الطاعنة</w:t>
      </w:r>
      <w:proofErr w:type="gramEnd"/>
      <w:r w:rsidRPr="00BD54BB">
        <w:rPr>
          <w:rFonts w:ascii="Traditional Arabic" w:hAnsi="Traditional Arabic"/>
          <w:sz w:val="32"/>
          <w:szCs w:val="32"/>
          <w:rtl/>
        </w:rPr>
        <w:t xml:space="preserve"> من الخطية و إرجاع المال المؤمن إليها. </w:t>
      </w:r>
    </w:p>
    <w:p w:rsidR="00D1342E" w:rsidRPr="00BD54BB" w:rsidRDefault="00D1342E" w:rsidP="00D1342E">
      <w:pPr>
        <w:ind w:left="567" w:firstLine="567"/>
        <w:jc w:val="both"/>
        <w:rPr>
          <w:rFonts w:ascii="Traditional Arabic" w:hAnsi="Traditional Arabic"/>
          <w:sz w:val="32"/>
          <w:szCs w:val="32"/>
          <w:rtl/>
        </w:rPr>
      </w:pPr>
    </w:p>
    <w:p w:rsidR="00D1342E" w:rsidRPr="00BD54BB" w:rsidRDefault="00D1342E" w:rsidP="00D1342E">
      <w:pPr>
        <w:ind w:left="567" w:firstLine="567"/>
        <w:jc w:val="center"/>
        <w:rPr>
          <w:rFonts w:ascii="Traditional Arabic" w:hAnsi="Traditional Arabic"/>
          <w:b/>
          <w:bCs/>
          <w:sz w:val="32"/>
          <w:szCs w:val="32"/>
          <w:u w:val="single"/>
          <w:rtl/>
        </w:rPr>
      </w:pPr>
      <w:r w:rsidRPr="00BD54BB">
        <w:rPr>
          <w:rFonts w:ascii="Traditional Arabic" w:hAnsi="Traditional Arabic"/>
          <w:b/>
          <w:bCs/>
          <w:sz w:val="32"/>
          <w:szCs w:val="32"/>
          <w:u w:val="single"/>
          <w:rtl/>
        </w:rPr>
        <w:t>ولهاته الأسباب</w:t>
      </w:r>
    </w:p>
    <w:p w:rsidR="00D1342E" w:rsidRPr="00BD54BB" w:rsidRDefault="00D1342E" w:rsidP="00D1342E">
      <w:pPr>
        <w:tabs>
          <w:tab w:val="right" w:pos="6570"/>
        </w:tabs>
        <w:ind w:left="567" w:firstLine="567"/>
        <w:jc w:val="both"/>
        <w:rPr>
          <w:rFonts w:ascii="Traditional Arabic" w:hAnsi="Traditional Arabic"/>
          <w:sz w:val="32"/>
          <w:szCs w:val="32"/>
          <w:rtl/>
        </w:rPr>
      </w:pPr>
      <w:r w:rsidRPr="00BD54BB">
        <w:rPr>
          <w:rFonts w:ascii="Traditional Arabic" w:hAnsi="Traditional Arabic"/>
          <w:sz w:val="32"/>
          <w:szCs w:val="32"/>
          <w:rtl/>
        </w:rPr>
        <w:t>قررت المحكمة قبول مطلب التعقيب شكلا و</w:t>
      </w:r>
      <w:r w:rsidRPr="00BD54BB">
        <w:rPr>
          <w:rFonts w:ascii="Traditional Arabic" w:hAnsi="Traditional Arabic"/>
          <w:sz w:val="32"/>
          <w:szCs w:val="32"/>
          <w:rtl/>
          <w:lang w:bidi="ar-TN"/>
        </w:rPr>
        <w:t>أ</w:t>
      </w:r>
      <w:r w:rsidRPr="00BD54BB">
        <w:rPr>
          <w:rFonts w:ascii="Traditional Arabic" w:hAnsi="Traditional Arabic"/>
          <w:sz w:val="32"/>
          <w:szCs w:val="32"/>
          <w:rtl/>
        </w:rPr>
        <w:t>صلا ونقض القرار المطعون فيه وإحالة القضية على محكمة الاستئناف بمدنين  للنظر فيها مجددا بهيئة أخرى وإعفاء الطاعنة من الخطية وإرجاع معلومها المؤمن إليها.</w:t>
      </w:r>
    </w:p>
    <w:p w:rsidR="00D1342E" w:rsidRDefault="00D1342E" w:rsidP="00D1342E">
      <w:pPr>
        <w:ind w:left="567" w:firstLine="567"/>
        <w:jc w:val="both"/>
        <w:rPr>
          <w:rFonts w:ascii="Traditional Arabic" w:hAnsi="Traditional Arabic"/>
          <w:sz w:val="32"/>
          <w:szCs w:val="32"/>
          <w:rtl/>
        </w:rPr>
      </w:pPr>
      <w:r w:rsidRPr="00BD54BB">
        <w:rPr>
          <w:rFonts w:ascii="Traditional Arabic" w:hAnsi="Traditional Arabic"/>
          <w:sz w:val="32"/>
          <w:szCs w:val="32"/>
          <w:rtl/>
        </w:rPr>
        <w:t xml:space="preserve">وصدر هذا القرار بحجرة الشورى بتاريخ </w:t>
      </w:r>
      <w:r w:rsidRPr="00BD54BB">
        <w:rPr>
          <w:rFonts w:ascii="Traditional Arabic" w:hAnsi="Traditional Arabic"/>
          <w:b/>
          <w:bCs/>
          <w:sz w:val="32"/>
          <w:szCs w:val="32"/>
          <w:rtl/>
        </w:rPr>
        <w:t xml:space="preserve">28/05/2024  </w:t>
      </w:r>
      <w:r w:rsidRPr="00BD54BB">
        <w:rPr>
          <w:rFonts w:ascii="Traditional Arabic" w:hAnsi="Traditional Arabic"/>
          <w:sz w:val="32"/>
          <w:szCs w:val="32"/>
          <w:rtl/>
        </w:rPr>
        <w:t xml:space="preserve">عن الدائرة المدنية الثانية و الثلاثين المتركبة من رئيستها السيدة </w:t>
      </w:r>
      <w:r w:rsidRPr="00BD54BB">
        <w:rPr>
          <w:rFonts w:ascii="Traditional Arabic" w:hAnsi="Traditional Arabic"/>
          <w:b/>
          <w:bCs/>
          <w:sz w:val="32"/>
          <w:szCs w:val="32"/>
          <w:rtl/>
        </w:rPr>
        <w:t>لمياء الحمامي</w:t>
      </w:r>
      <w:r w:rsidRPr="00BD54BB">
        <w:rPr>
          <w:rFonts w:ascii="Traditional Arabic" w:hAnsi="Traditional Arabic"/>
          <w:sz w:val="32"/>
          <w:szCs w:val="32"/>
          <w:rtl/>
        </w:rPr>
        <w:t xml:space="preserve"> وعضوية المستشارتين السيدتين </w:t>
      </w:r>
      <w:r w:rsidRPr="00BD54BB">
        <w:rPr>
          <w:rFonts w:ascii="Traditional Arabic" w:hAnsi="Traditional Arabic"/>
          <w:b/>
          <w:bCs/>
          <w:sz w:val="32"/>
          <w:szCs w:val="32"/>
          <w:rtl/>
        </w:rPr>
        <w:t xml:space="preserve">نادرة بن سالم و كوثر زعيتر </w:t>
      </w:r>
      <w:r w:rsidRPr="00BD54BB">
        <w:rPr>
          <w:rFonts w:ascii="Traditional Arabic" w:hAnsi="Traditional Arabic"/>
          <w:sz w:val="32"/>
          <w:szCs w:val="32"/>
          <w:rtl/>
        </w:rPr>
        <w:t xml:space="preserve"> وبحضور المدعي العام السيد </w:t>
      </w:r>
      <w:r w:rsidRPr="00BD54BB">
        <w:rPr>
          <w:rFonts w:ascii="Traditional Arabic" w:hAnsi="Traditional Arabic"/>
          <w:b/>
          <w:bCs/>
          <w:sz w:val="32"/>
          <w:szCs w:val="32"/>
          <w:rtl/>
        </w:rPr>
        <w:t>توفيق السبعي</w:t>
      </w:r>
      <w:r w:rsidRPr="00BD54BB">
        <w:rPr>
          <w:rFonts w:ascii="Traditional Arabic" w:hAnsi="Traditional Arabic"/>
          <w:sz w:val="32"/>
          <w:szCs w:val="32"/>
          <w:rtl/>
        </w:rPr>
        <w:t xml:space="preserve"> و بمساعدة كاتبة الجلسة السيدة </w:t>
      </w:r>
      <w:r w:rsidRPr="00BD54BB">
        <w:rPr>
          <w:rFonts w:ascii="Traditional Arabic" w:hAnsi="Traditional Arabic"/>
          <w:b/>
          <w:bCs/>
          <w:sz w:val="32"/>
          <w:szCs w:val="32"/>
          <w:rtl/>
        </w:rPr>
        <w:t>عائدة الحلواني.</w:t>
      </w:r>
    </w:p>
    <w:p w:rsidR="00D1342E" w:rsidRPr="00BD54BB" w:rsidRDefault="00D1342E" w:rsidP="00D1342E">
      <w:pPr>
        <w:ind w:left="567" w:firstLine="567"/>
        <w:jc w:val="both"/>
        <w:rPr>
          <w:rFonts w:ascii="Traditional Arabic" w:hAnsi="Traditional Arabic"/>
          <w:sz w:val="32"/>
          <w:szCs w:val="32"/>
          <w:rtl/>
        </w:rPr>
      </w:pPr>
    </w:p>
    <w:p w:rsidR="00D1342E" w:rsidRPr="00BD54BB" w:rsidRDefault="00D1342E" w:rsidP="00D1342E">
      <w:pPr>
        <w:ind w:left="567" w:firstLine="567"/>
        <w:jc w:val="right"/>
        <w:rPr>
          <w:rFonts w:ascii="Traditional Arabic" w:hAnsi="Traditional Arabic"/>
          <w:b/>
          <w:bCs/>
          <w:sz w:val="32"/>
          <w:szCs w:val="32"/>
          <w:rtl/>
        </w:rPr>
      </w:pPr>
      <w:r w:rsidRPr="00BD54BB">
        <w:rPr>
          <w:rFonts w:ascii="Traditional Arabic" w:hAnsi="Traditional Arabic"/>
          <w:b/>
          <w:bCs/>
          <w:sz w:val="32"/>
          <w:szCs w:val="32"/>
          <w:rtl/>
        </w:rPr>
        <w:t xml:space="preserve">                                                     وحرر في تاريخه</w:t>
      </w:r>
    </w:p>
    <w:p w:rsidR="00D1342E" w:rsidRPr="00BD54BB" w:rsidRDefault="00D1342E" w:rsidP="00D1342E">
      <w:pPr>
        <w:ind w:left="567" w:firstLine="567"/>
        <w:jc w:val="both"/>
        <w:rPr>
          <w:rFonts w:ascii="Traditional Arabic" w:hAnsi="Traditional Arabic"/>
          <w:sz w:val="32"/>
          <w:szCs w:val="32"/>
        </w:rPr>
      </w:pPr>
    </w:p>
    <w:p w:rsidR="00D1342E" w:rsidRPr="00BD54BB" w:rsidRDefault="00D1342E" w:rsidP="00D1342E">
      <w:pPr>
        <w:ind w:left="567" w:firstLine="567"/>
        <w:jc w:val="both"/>
        <w:rPr>
          <w:rFonts w:ascii="Traditional Arabic" w:hAnsi="Traditional Arabic"/>
          <w:sz w:val="32"/>
          <w:szCs w:val="32"/>
        </w:rPr>
      </w:pPr>
    </w:p>
    <w:p w:rsidR="00D1342E" w:rsidRPr="00BD54BB" w:rsidRDefault="00D1342E" w:rsidP="00D1342E">
      <w:pPr>
        <w:ind w:left="567" w:firstLine="567"/>
        <w:jc w:val="both"/>
        <w:rPr>
          <w:rFonts w:ascii="Traditional Arabic" w:hAnsi="Traditional Arabic"/>
          <w:sz w:val="32"/>
          <w:szCs w:val="32"/>
        </w:rPr>
      </w:pPr>
    </w:p>
    <w:p w:rsidR="00D1342E" w:rsidRPr="00BD54BB" w:rsidRDefault="00D1342E" w:rsidP="00D1342E">
      <w:pPr>
        <w:ind w:left="567" w:firstLine="567"/>
        <w:jc w:val="both"/>
        <w:rPr>
          <w:sz w:val="32"/>
          <w:szCs w:val="32"/>
          <w:rtl/>
        </w:rPr>
      </w:pPr>
    </w:p>
    <w:p w:rsidR="00B634D4" w:rsidRDefault="00B634D4"/>
    <w:sectPr w:rsidR="00B634D4" w:rsidSect="00BD54BB">
      <w:footerReference w:type="even" r:id="rId4"/>
      <w:footerReference w:type="default" r:id="rId5"/>
      <w:pgSz w:w="11907" w:h="16840" w:code="9"/>
      <w:pgMar w:top="1134" w:right="1134" w:bottom="1134" w:left="1134"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D" w:rsidRDefault="00D1342E">
    <w:pPr>
      <w:pStyle w:val="Pieddepage"/>
      <w:framePr w:wrap="around" w:vAnchor="text" w:hAnchor="margin" w:xAlign="center" w:y="1"/>
      <w:rPr>
        <w:rStyle w:val="Numrodepage"/>
        <w:rtl/>
      </w:rPr>
    </w:pPr>
    <w:r>
      <w:rPr>
        <w:rStyle w:val="Numrodepage"/>
        <w:rtl/>
      </w:rPr>
      <w:fldChar w:fldCharType="begin"/>
    </w:r>
    <w:r>
      <w:rPr>
        <w:rStyle w:val="Numrodepage"/>
      </w:rPr>
      <w:instrText xml:space="preserve">PAGE  </w:instrText>
    </w:r>
    <w:r>
      <w:rPr>
        <w:rStyle w:val="Numrodepage"/>
        <w:rtl/>
      </w:rPr>
      <w:fldChar w:fldCharType="end"/>
    </w:r>
  </w:p>
  <w:p w:rsidR="00D54A3D" w:rsidRDefault="00D1342E">
    <w:pPr>
      <w:pStyle w:val="Pieddepage"/>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A3D" w:rsidRDefault="00D1342E">
    <w:pPr>
      <w:pStyle w:val="Pieddepage"/>
      <w:framePr w:wrap="around" w:vAnchor="text" w:hAnchor="margin" w:xAlign="center" w:y="1"/>
      <w:rPr>
        <w:rStyle w:val="Numrodepage"/>
        <w:rtl/>
      </w:rPr>
    </w:pPr>
    <w:r>
      <w:rPr>
        <w:rStyle w:val="Numrodepage"/>
        <w:rtl/>
      </w:rPr>
      <w:fldChar w:fldCharType="begin"/>
    </w:r>
    <w:r>
      <w:rPr>
        <w:rStyle w:val="Numrodepage"/>
      </w:rPr>
      <w:instrText xml:space="preserve">PAGE  </w:instrText>
    </w:r>
    <w:r>
      <w:rPr>
        <w:rStyle w:val="Numrodepage"/>
        <w:rtl/>
      </w:rPr>
      <w:fldChar w:fldCharType="separate"/>
    </w:r>
    <w:r>
      <w:rPr>
        <w:rStyle w:val="Numrodepage"/>
        <w:noProof/>
        <w:rtl/>
      </w:rPr>
      <w:t>5</w:t>
    </w:r>
    <w:r>
      <w:rPr>
        <w:rStyle w:val="Numrodepage"/>
        <w:rtl/>
      </w:rPr>
      <w:fldChar w:fldCharType="end"/>
    </w:r>
  </w:p>
  <w:p w:rsidR="00D54A3D" w:rsidRDefault="00D1342E">
    <w:pPr>
      <w:pStyle w:val="Pieddepage"/>
      <w:rPr>
        <w:rtl/>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1342E"/>
    <w:rsid w:val="00B634D4"/>
    <w:rsid w:val="00D1342E"/>
    <w:rsid w:val="00E40CA5"/>
    <w:rsid w:val="00E910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42E"/>
    <w:pPr>
      <w:bidi/>
      <w:spacing w:after="0" w:line="240" w:lineRule="auto"/>
    </w:pPr>
    <w:rPr>
      <w:rFonts w:ascii="Times New Roman" w:eastAsia="Times New Roman" w:hAnsi="Times New Roman" w:cs="Traditional Arabic"/>
      <w:sz w:val="20"/>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D1342E"/>
    <w:pPr>
      <w:tabs>
        <w:tab w:val="center" w:pos="4153"/>
        <w:tab w:val="right" w:pos="8306"/>
      </w:tabs>
    </w:pPr>
    <w:rPr>
      <w:lang w:bidi="ar-TN"/>
    </w:rPr>
  </w:style>
  <w:style w:type="character" w:customStyle="1" w:styleId="PieddepageCar">
    <w:name w:val="Pied de page Car"/>
    <w:basedOn w:val="Policepardfaut"/>
    <w:link w:val="Pieddepage"/>
    <w:rsid w:val="00D1342E"/>
    <w:rPr>
      <w:rFonts w:ascii="Times New Roman" w:eastAsia="Times New Roman" w:hAnsi="Times New Roman" w:cs="Traditional Arabic"/>
      <w:sz w:val="20"/>
      <w:szCs w:val="24"/>
      <w:lang w:val="fr-FR" w:bidi="ar-TN"/>
    </w:rPr>
  </w:style>
  <w:style w:type="character" w:styleId="Numrodepage">
    <w:name w:val="page number"/>
    <w:basedOn w:val="Policepardfaut"/>
    <w:rsid w:val="00D134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1620</Words>
  <Characters>9235</Characters>
  <Application>Microsoft Office Word</Application>
  <DocSecurity>0</DocSecurity>
  <Lines>76</Lines>
  <Paragraphs>21</Paragraphs>
  <ScaleCrop>false</ScaleCrop>
  <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dc:creator>
  <cp:keywords/>
  <dc:description/>
  <cp:lastModifiedBy>civil</cp:lastModifiedBy>
  <cp:revision>1</cp:revision>
  <dcterms:created xsi:type="dcterms:W3CDTF">2025-04-07T13:22:00Z</dcterms:created>
  <dcterms:modified xsi:type="dcterms:W3CDTF">2025-04-07T13:22:00Z</dcterms:modified>
</cp:coreProperties>
</file>